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71" w:rsidRDefault="000B0271">
      <w:pPr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B0271" w:rsidRDefault="009B5816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ПОЯСНИТЕЛЬНАЯ ЗАПИСКА</w:t>
      </w:r>
    </w:p>
    <w:p w:rsidR="000B0271" w:rsidRDefault="009B581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«ФИЗИЧЕСКАЯ КУЛЬТУРА»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рабочей программе нашли свои отражения объективно сложившиеся реалии современного социокульту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0B0271" w:rsidRDefault="000B0271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0271" w:rsidRDefault="009B5816">
      <w:pPr>
        <w:shd w:val="clear" w:color="auto" w:fill="FFFFFF"/>
        <w:spacing w:after="0" w:line="240" w:lineRule="auto"/>
        <w:ind w:firstLine="22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«ФИЗИЧЕСКАЯ КУЛЬТУРА»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целью школьного образования по физической культуре является 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физической культуры в организации здорового образа жизни, регулярных занятиях двигательной деятельностью и спортом.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направленность рабочей программы определяется вектором развития физических качеств и функциональных возможностей организма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льной, спортивной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-ориентированной физической культурой, возможностью познания своих физических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спосбностей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целенаправленного развития.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Воспитывающее значение рабочей программы заключается в содействии активной социализации школьников на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 число практических результатов данного направления входит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положительных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учебного содержания и планируемых результатов образования в основной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дисциплины «Физическая культура», которое представляе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усиления мотивационной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Инвариантные модули: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 в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базовых видов спорта: гимнастика, лёгкая атлетика, зимние виды спорта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ими технических действий и физических упражнений, содействующих обогащению двигательного опыта.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Вариативные модули: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объединены в рабочей программе модулем «Спорт», содержание которого разрабатывается образовательной организацией на основе Примерных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 Всероссийского физкультурно-спортивного комплекса ГТО, активное вовлечение их в соревновательную деятельность.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интересов учащихся, традиций конкретного региона или образовательной организации, модуль «Спорт» может разрабатываться учителям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модуля, представлено примерное 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ержание «Базовой физической подготовки».</w:t>
      </w:r>
    </w:p>
    <w:p w:rsidR="000B0271" w:rsidRDefault="000B0271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0271" w:rsidRDefault="000B0271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0271" w:rsidRDefault="009B5816">
      <w:pPr>
        <w:shd w:val="clear" w:color="auto" w:fill="FFFFFF"/>
        <w:spacing w:after="0" w:line="240" w:lineRule="auto"/>
        <w:ind w:firstLine="22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0B0271" w:rsidRDefault="009B5816">
      <w:pPr>
        <w:shd w:val="clear" w:color="auto" w:fill="F7FDF7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на изучение предмета отводится 2 часа в неделю, суммарно 68 часа.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Вариативные модули (не менее 1 часа в неделю) могут быть реализованы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0B0271" w:rsidRDefault="009B5816">
      <w:pPr>
        <w:shd w:val="clear" w:color="auto" w:fill="F7FD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рабочей программы учитывались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зафиксированные в Федеральном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0B0271" w:rsidRDefault="000B0271">
      <w:pPr>
        <w:shd w:val="clear" w:color="auto" w:fill="F7FD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271" w:rsidRDefault="000B0271">
      <w:pPr>
        <w:shd w:val="clear" w:color="auto" w:fill="F7FDF7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0271" w:rsidRDefault="009B5816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УЧЕБНОГО ПРЕДМЕТА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ической 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здоровый образ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ершение истории Олимпийских игр древности.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Способы самостоятельной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их временных диапазонов и последовательности в выполнении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физическими упражнениями на открытых площадках и в домашних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подготовка мест занятий, выбор одежды и обуви; предупреждение травматизма.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дневника физической культуры.</w:t>
      </w:r>
    </w:p>
    <w:p w:rsidR="000B0271" w:rsidRDefault="000B0271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0271" w:rsidRDefault="009B5816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ическое 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деятельность. Роль и значение спортивно-оздоровительной деятельности в здоровом образе жизни современного человека.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«Гимнастика»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Кувырки вперёд и назад в группировке; кувырки вперёд ноги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кувырки назад из стойки на лопатках (мальчи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низком гимнастическом бревне: передвижение ходьбой с поворотами кругом и на 90°, лёгкие подпр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приставным шагом правым и левым боком; лазанье разноимённым способом по диагонали и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имённым способом вверх. Расхо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на гимнастической скамейке правым и левым боком способом «удерживая за плечи».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Прыжки в длину с разбега способом «согнув ноги»; прыжки в высоту с прямого разбега.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Передвижение на лыжах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портивные игры»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Баскетбол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Футбол.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по неподвижному мячу внутренней стороной стопы с небольшого разбега; остановка 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ящегося мяча способом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ведение мяча «по прямой», «по кругу» и «змейкой»; обводка мячом ориентиров (конусов).</w:t>
      </w:r>
      <w:proofErr w:type="gramEnd"/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технических действий спортивных игр.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«Спорт»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культурно-этнических игр.</w:t>
      </w:r>
    </w:p>
    <w:p w:rsidR="000B0271" w:rsidRDefault="000B02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271" w:rsidRDefault="000B0271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0271" w:rsidRDefault="009B5816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спортсменов-олимпийцев;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ориентироваться на моральные ценности и нормы межличнос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 во время проведения совместн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занятий физической культурой, участия в спортивных мероприятиях и соревнованиях;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 развития и физической подготовленности с учётом самостоятельных наблюдений за изменением их показателей;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 физической культурой и спортом;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нагрузок;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соблюдать правила безопасности во время занятий физической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соблюдать правила и требования к организации бивуака во время туристских пох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одов, противостоять действиям и поступкам, приносящим вред окружающей среде;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основных понятиях и терминах физического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0B0271" w:rsidRDefault="000B0271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0271" w:rsidRDefault="009B5816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познавательные действия: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соревновательных упражнений Олимпийских игр древности и современных Олимпийских игр, выявлять их общность и различия;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равленности;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туристские походы как форму активного отдыха, выявлять их целев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причинно-следственную связь между планированием режима дня и изменениями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работоспособности;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связь между качеством владения техникой физического упражн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возможностью возникновения травм и ушибов во время самостоятельных занятий физической культурой и спортом;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альные коммуникативные действия: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анализир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изучать и коллективно обсуждать технику «иллюстративного образца» разучивае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регулятивные действия: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индивидуальные комплексы физических упражнений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акробатические и гимнастические комплексы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ражнений, самостоятельно разучивать сложно-координированные упражнения на спортивных снарядах;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ртных ситуаций, признавать своё право и право других на ошибку, право на её совместное исправление;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относится к ошибкам игроков своей команды и команды соперников;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изнаков полученной травмы.</w:t>
      </w:r>
    </w:p>
    <w:p w:rsidR="000B0271" w:rsidRDefault="000B0271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0271" w:rsidRDefault="009B5816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5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дневник физической культуры и вести в нём набл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утомления во время учебной деятельности, выполнять комплексы упражнений физкультм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инуток, дыхательной и зрительной гимнастики;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опорный прыжок с разбега способом «ноги врозь» (мальчики) и способом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апрыгивания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спрыгиванием» (девочки);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и с продвижением (девочки);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бег с равномерной скоростью с высокого старта по учебной дистанции;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технику прыжка в длину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разбега способом «согнув ноги»;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передвигаться на лыжах попеременным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(для бесснежных районов—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итация передвижения);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технические действия в спортивных играх: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 (ведение мяча с равномерной скоростью в разных направ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лениях; приём и передача мяча двумя руками от груди с места и в движении);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волейбол (приём и передача мяча двумя руками снизу и сверху с места и в движении, прямая нижняя подача);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 (ведение мяча с равномерной скоростью в разных направлениях, приём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мяча, удар по неподвижному мячу с небольшого разбега);</w:t>
      </w:r>
    </w:p>
    <w:p w:rsidR="000B0271" w:rsidRDefault="009B5816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0B0271" w:rsidRDefault="000B02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0B0271">
          <w:pgSz w:w="11906" w:h="16838"/>
          <w:pgMar w:top="1134" w:right="849" w:bottom="1134" w:left="1701" w:header="0" w:footer="0" w:gutter="0"/>
          <w:cols w:space="720"/>
          <w:formProt w:val="0"/>
          <w:docGrid w:linePitch="360" w:charSpace="4096"/>
        </w:sectPr>
      </w:pPr>
    </w:p>
    <w:p w:rsidR="000B0271" w:rsidRDefault="009B5816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lastRenderedPageBreak/>
        <w:t>ТЕМАТИЧЕСКОЕ ПЛАНИРОВАНИЕ</w:t>
      </w:r>
    </w:p>
    <w:tbl>
      <w:tblPr>
        <w:tblW w:w="16543" w:type="dxa"/>
        <w:tblInd w:w="-90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1"/>
        <w:gridCol w:w="3849"/>
        <w:gridCol w:w="657"/>
        <w:gridCol w:w="1434"/>
        <w:gridCol w:w="1481"/>
        <w:gridCol w:w="1039"/>
        <w:gridCol w:w="3507"/>
        <w:gridCol w:w="1409"/>
        <w:gridCol w:w="2586"/>
      </w:tblGrid>
      <w:tr w:rsidR="000B0271"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4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35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258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0B0271"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271" w:rsidRDefault="000B027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271" w:rsidRDefault="000B027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271" w:rsidRDefault="000B027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271" w:rsidRDefault="000B027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271" w:rsidRDefault="000B027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271" w:rsidRDefault="000B027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</w:tr>
      <w:tr w:rsidR="000B0271">
        <w:tc>
          <w:tcPr>
            <w:tcW w:w="1654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обсуждают задачи и содержание занятий физической культурой на предстоящий учебный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высказывают свои пожелания и предложения, конкретизируют требования по отдельным разделам и т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емам;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интересуются работой спортивных секций и их расписанием;;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задают вопросы по организации спортивных соревнований, делают выводы о возможном в них участии;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Знакомство с системой дополнительного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обучения физической культуре и организацией спортивной работы в школе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описывают основные формы оздоровительных занятий, конкретизируют их значение для здоровья человека: утренняя зарядка; физкультминутки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физкультпаузы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, прогулки и занятия на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открытом воздухе, занятия физической культурой, тренировочные занятия по видам спорта;;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приводят примеры содержательного наполнения форм занятий физкультурно-оздоровительной и спортивно-оздоровительной направленности;;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осознают положительное влияние каждой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из форм организации занятий на состояние здоровья, физическое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развитие и физическую подготовленность;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Знакомство с понятием «здоровый образ жизни» и значением здорового образа жизни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жизнедеятельности современного человека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задают вопросы по организации спортивных соревнований, делают выводы о возможном в них участии;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описывают основные формы оздоровительных занятий, конкретизируют их значение для здоровья человека: утренняя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зарядка; физкультминутки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физкультпаузы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, прогулки и занятия на открытом воздухе, занятия физической культурой, тренировочные занятия по видам спорта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приводят примеры содержательного наполнения форм занятий физкультурно-оздоровительной и спортивно-оздоро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вительной направленности;;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осознают положительное влияние каждой из форм организации занятий на состояние здоровья, физическое развитие и физическую подготовленность;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Знакомство с историей древних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Олимпийских игр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характеризуют Олимпийские игры как яркое культурное событие Древнего мира; излагают версию их появления и причины завершения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анализируют состав видов спорта, входивших в программу Олимпийских игр Древней Греции, сравнивают их с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видами спорта из программы современных Олимпийских игр;;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устанавливают общность и различия в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организации древних и современных Олимпийских игр;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44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6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0B0271">
        <w:tc>
          <w:tcPr>
            <w:tcW w:w="1654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Раздел 2. СПОСОБЫ САМОСТОЯТЕЛЬНОЙ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Режим дня и его значение для современного школьника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знакомятся с понятием «работоспособность» и изменениями показателей работоспособности в течение дня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устанавливают причинно-следственную связь между видами деятельности, их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содержанием и напряжённостью и показателями работоспособности;;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Самостоятельное составление индивидуального режима дня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устанавливают причинно-следственную связь между планированием режима дня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школьника и изменениями показателей работоспособности в течение дня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определяют индивидуальные виды деятельности в течение дня, устанавливают временной диапазон и последовательность их выполнения;;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составляют индивидуальный режим дня и оформляют его в виде таблицы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Осанка как показатель физического развития и здоровья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школьника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знакомятся с понятием «физическое развитие» в значении «процесс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взросления организма под влиянием наследственных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»;;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lastRenderedPageBreak/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Измерение индивидуальных показателей физического развития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приводят примеры влияния занятий физическими упражнениями на показатели физического развития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знакомятся с понятиями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«правильная осанка» и «неправильная осанка», видами осанки и возможными причинами нарушения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Организация и проведение самостоятельных занятий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измеряют показатели индивидуального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физического развития (длины и массы тела, окружности грудной клетки, осанки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):;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выявляют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соответствие текущих индивидуальных показателей стандартным показателям с помощью стандартных таблиц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выбирают индивидуальный способ регистрации пульса (наложением руки на запястье, на сонную артерию, в область сердца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);;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разучивают способ проведения одномоментной пробы в состоянии относительного покоя, определяют состояние организма по определённой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формуле;;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Ведение дневника физической культуры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разучивают способ проведения одномоментной пробы после выполнения физической нагрузки и определяют состояние организма по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определённой формуле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измеряют пульс после выполнения упражнений (или двигательных действий) в начале, середине и по окончании самостоятельных занятий;;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сравнивают полученные данные с показателями таблицы физических нагрузок и определяют её характеристик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44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6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0B0271">
        <w:tc>
          <w:tcPr>
            <w:tcW w:w="1654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знакомятся с понятием «физкультурно-оздоровительная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деятельность», ролью и значением физкультурно-оздоровительной деятельности в здоровом образе жизни современного человека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Упражнения утренней зарядки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отбирают и составляют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комплексы упражнений утренней зарядки и физкультминуток для занятий в домашних условиях без предметов, с гимнастической палкой и гантелями, с использованием стула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Упражнения дыхательной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и зрительной гимнастики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разучивают упражнения дыхательной и зрительной гимнастики для профилактики утомления во время учебных занятий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Водные процедуры после утренней зарядки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закрепляют и совершенствуют навыки проведения закаливающей процедуры способом обливания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Упражнения на развитие гибкости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разучивают упражнения на подвижность суставов,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выполняют их из разных исходных положений, с одноимёнными и разно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softHyphen/>
              <w:t>имёнными движениями рук и ног, вращением туловища с большой амплитудой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Упражнения на развитие координации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разучивают упражнения в равновесии, точности движений, жонглировании малым (теннисным) мячом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Упражнения на формирование телосложения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разучивают упражнения с гантелями на развитие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отдельных мышечных 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знакомятся с понятием «спортивно-оздоровительная деятельность», ролью и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значением спортивно-оздоровительной деятельности в здоровом образе жизни современного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человека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3.9.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Кувырок вперёд в группировке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описывают технику выполнения кувырка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вперёд с выделением фаз движения, выясняют возможность появление ошибок и причин их появления (на основе предшествующего опыта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);;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Кувырок назад в группировке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описывают технику выполнения кувырка назад в группировке с выделением фаз движения, характеризуют возможные ошибки и причины их появления на основе предшествующего опыта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Кувырок вперёд ноги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скрёстно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определяют задачи для самостоятельного обучения и закрепления техники кувырка вперёд ноги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скрёстно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»;;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выполняют кувырок вперёд ноги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скрёстно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» по фазам и в полной координации;;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Кувырок назад из стойки на лопатках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разучивают технику кувырка назад из стойки на лопатках по фазам движения и в полной координации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контролируют технику выполнения упражнения другими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учащимися, анализируют её с помощью сравнения с техникой образца, выявляют ошибки и предлагают способы их устранения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(обучение в парах).;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3.13.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Опорный прыжок на гимнастического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козла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описывают технику выполнения прыжка с выделением фаз движений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повторяют подводящие упражнения и оценивают технику их выполнения;;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определяют задачи и последовательность самостоятельного обучения технике опорного прыжка;;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разучивают технику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прыжка по фазам и в полной координации;;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Гимнастическая комбинация с элементами акробатики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разучивают упражнения комбинации на полу, на гимнастической скамейке, на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напольном гимнастическом бревне, на низком гимнастическом бревне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 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контролируют технику выполнения комбинации другими учащимися, сравнивают её с иллюстративным образцом и выявляют возможные ошибки, предлагают способы их устранения (обучение в группах).;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Лазанье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 на гимнастической стенке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закрепляют и совершенствуют технику лазанья по гимнастической стенке разноимённым способом, передвижение приставным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шагом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знакомятся с образцом учителя, наблюдают и анализируют технику лазанья одноимённым способом, описывают её по фазам движения;;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разучивают лазанье одноимённым способом по фазам движения и в полной координации;;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lastRenderedPageBreak/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3.16.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Расхождение на гимнастической скамейке в парах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разучивают упражнения комбинации на полу, на гимнастической скамейке, на напольном гимнастическом бревне, на низком гимнастическом бревне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 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контролируют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технику выполнения комбинации другими учащимися, сравнивают её с иллюстративным образцом и выявляют возможные ошибки, предлагают способы их устранения (обучение в группах).;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 xml:space="preserve">Модуль «Лёгкая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атлетика».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Бег с равномерной скоростью на длинные дистанции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закрепляют и совершенствуют технику высокого старта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:;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знакомятся с образцом учителя, анализируют и уточняют детали и элементы техники;;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описывают технику равномерного бега и разучивают его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на учебной дистанции (за лидером, с коррекцией скорости передвижения учителем);;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«Лёгкая атлетика».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Знакомство с рекомендациями по технике безопасности во время выполнения беговых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упражнений на самостоятельных занятиях лёгкой атлетикой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знакомятся с рекомендациями по технике безопасности во время выполнения беговых упражнений на самостоятельных занятиях лёгкой атлетикой;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3.19.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«Лёгкая атлетика».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Бег с максимальной скоростью на короткие дистанции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закрепляют и совершенствуют технику бега на короткие дистанции с высокого старта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разучивают стартовое и финишное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ускорение;;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разучивают бег с максимальной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скоростью с высокого старта по учебной дистанции в 60 м.;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3.20.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«Лёгкая атлетика».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Прыжок в длину с разбега способом «согнув ноги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повторяют описание техники прыжка и его отдельные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фазы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закрепляют и совершенствуют технику прыжка в длину с разбега способом «согнув ноги»;;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уппах).;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3.21.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«Лёгкая атлетика».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знакомятся с рекомендациями учителя по технике безопасности на занятиях прыжками и со способами их использования для развития скоростно-силовых способностей;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рассматривают, обсуждают и анализируют иллюстративный образец метания, выделяют фазы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движения и анализируют их технику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3.22.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«Лёгкая атлетика».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Метание малого мяча в неподвижную мишень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контролируют технику выполнения упражнения другими учащимися, сравнивают её с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образцом и выявляют возможные ошибки, предлагают способы их устранения (обучение в группах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).;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знакомятся с рекомендациями учителя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по технике безопасности на занятиях прыжками и со способами их использования для развития скоростно-силовых способностей;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3.23.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«Лёгкая атлетика».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знакомятся с рекомендациями учителя по технике безопасности на занятиях прыжками и со способами их использования для развития скоростно-силовых способностей;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рассматривают, обсуждают и анализируют иллюстративный образец метания, выделяют фазы движения и ан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ализируют их технику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определяют задачи для самостоятельного обучения и закрепления техники метания малого мяча в неподвижную мишень;;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3.24.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«Лёгкая атлетика».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Метание малого мяча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дальность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метают малый мяч на дальность по фазам движения и в полной координации;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3.31.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«Спортивные игры. Баскетбол».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Передача баскетбольного мяча двумя руками от груди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закрепляют и совершенствуют технику передачи мяча двумя руками от груди на месте (обучение в парах);;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3.32.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«Спортивные игры. Баскетбол».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техники; 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закрепляют и совершенствуют технику ведения мяча на месте и в движении «по прямой»;;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рассматривают, обсу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ждают и анализируют образец техники ведения баскетбольного мяча «по кругу» и «змейкой», определяют отличительные признаки в их технике, делают выводы;;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3.33.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«Спортивные игры. Баскетбол».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Ведение баскетбольного мяча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техники; 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закрепляют и совершенствуют технику ведения мяча на месте и в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движении «по прямой»;;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рассматривают, обсуждают и анализируют образец техники ведения баскетбольного мяча «по кругу» и «змейкой», определяют отличительные признаки в их технике, делают выводы;;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разучивают технику ведения баскетбольного мяча «по кругу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» и «з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мейкой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».;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контролируют технику выполнения броска другими учащимися, выявляют возможные ошибки и предлагают способы их устранения (работа в группах);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3.34.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«Спортивные игры. Баскетбол».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Бросок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баскетбольного мяча в корзину двумя руками от груди с места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рассматривают, обсуждают и анализируют образец техники броска баскетбольного мяча в корзину двумя руками от груди с места, выделяют фазы движения и технические особенности их выполнения;;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описывают технику выполнения броска, сравнивают её с имеющимся опытом, определяют возможные ошибки и причины их появления, делают выводы;;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разучивают технику броска мяча в корзину по фазам и в полной координации;;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3.35.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«Спортивные игры. Волейбол».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Прямая нижняя подача мяча в волейболе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закрепляют и совершенствуют технику подачи 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рассматривают, обсуждают и анализируют образец техники прямой нижней подачи, определяют фазы движения и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особенности их выполнения;;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разучивают и закрепляют технику прямой нижней подачи мяча;;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3.36.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«Спортивные игры. Волейбол».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Знакомство с рекомендациями учителя по использованию подготовительных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 и подводящих упражнений для освоения технических действий игры волейбол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знакомятся с рекомендациями учителя по использованию подготовительных и подводящих упражнений для освоения технических действий игры волейбол;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3.37.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 xml:space="preserve">Модуль «Спортивные игры.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lastRenderedPageBreak/>
              <w:t>Волейбол».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Приём и передача волейбольного мяча двумя руками снизу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рассматривают, обсуждают и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анализируют образец техники приёма и передачи волейбольного мяча двумя руками снизу с места и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в движении, определяют фазы движения и особенности их технического выполнения, проводят сравнения в технике приёма и передачи мяча стоя на месте и в движении, определяют отличительные особенности в технике выполнения, делают выводы;;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закрепляют и совершен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ствуют технику приёма и передачи волейбольного мяча двумя руками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снизу с места (обучение в парах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);;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закрепляют и совершенствуют технику приёма и передачи волейбольного мяча двумя руками снизу в движении приставным шагом правым и левым боком (обучение в пар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ах).;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https://resh.edu.ru/subject/9/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3.38.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Модуль «Спортивные игры. Волейбол».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Приём и передача волейбольного мяча двумя руками сверху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закрепляют и совершенствуют технику приёма и передачи волейбольного мяча двумя руками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сверху с места (обучение в парах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);;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закрепляют и совершенствуют технику приёма и передачи волейбольного мяча двумя руками сверху в движении приставным шагом правым и левым боком (обучение в парах).;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44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11456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0B0271">
        <w:tc>
          <w:tcPr>
            <w:tcW w:w="1654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0B0271"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осваивают содержания Примерных модульных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программ по физической культуре или рабочей программы базовой физической подготовки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демонстрируют приросты в показателях физической подготовленности и нормативных требований комплекса ГТО;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https://resh.edu.ru/subject/9/</w:t>
            </w:r>
          </w:p>
        </w:tc>
      </w:tr>
      <w:tr w:rsidR="000B0271">
        <w:tc>
          <w:tcPr>
            <w:tcW w:w="44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Итого по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разделу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456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0B0271">
        <w:tc>
          <w:tcPr>
            <w:tcW w:w="44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85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</w:tbl>
    <w:p w:rsidR="000B0271" w:rsidRDefault="009B5816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ПОУРОЧНОЕ ПЛАНИРОВАНИЕ</w:t>
      </w:r>
    </w:p>
    <w:p w:rsidR="000B0271" w:rsidRDefault="000B0271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</w:p>
    <w:tbl>
      <w:tblPr>
        <w:tblW w:w="16380" w:type="dxa"/>
        <w:tblInd w:w="-884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33"/>
        <w:gridCol w:w="5545"/>
        <w:gridCol w:w="1165"/>
        <w:gridCol w:w="1642"/>
        <w:gridCol w:w="1698"/>
        <w:gridCol w:w="1720"/>
        <w:gridCol w:w="3877"/>
      </w:tblGrid>
      <w:tr w:rsidR="000B0271"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0B0271"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Инструктаж по технике безопасности на уроках легкой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 атлетики.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опрос, 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Знакомство с программным материалом и требованиями к его освоению. 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Бег с максимальной скоростью на короткие дистанции.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опрос, 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Знакомство с системой дополнительного обучения физической культуре и организацией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спортивной работы в школе.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Бег с максимальной скоростью на короткие дистанции.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Бег с максимальной скоростью на короткие дистанции.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Знакомство с историей древних Олимпийских игр.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Бег с равномерной скоростью на длинные дистанции.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Бег с равномерной скоростью на длинные дистанции.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Знакомство с рекомендациями по технике безопасности при выполнении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упражнений в метании малого мяча и со способами их использования для развития точности движения.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Метание малого мяча в неподвижную мишень.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Знакомство с рекомендациями учителя по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 технике безопасности на занятиях прыжками и со способами их использования для развития скоростно-силовых способностей.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Прыжок в длину с разбега способом «согнув ноги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Инструктаж по технике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 безопасности на уроках гимнастики.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Знакомство с понятием «физкультурно-оздоровительная деятельность.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Кувырок вперёд в группировке.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Упражнения утренней зарядки.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Кувырок вперёд в группировке.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Упражнения дыхательной и зрительной гимнастики.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Кувырок вперёд в группировке.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Знакомство с понятием «спортивно-оздоровительная деятельность.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Водные процедуры после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утренней зарядки. Упражнения на развитие гибкости.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Кувырок назад в группировке.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Упражнения на развитие координации.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Кувырок назад в группировке.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Упражнения на формирование телосложения. 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Кувырок назад в группировке.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Кувырок вперёд ноги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скрёстно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Кувырок назад из стойки на лопатках.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Опорный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прыжок на гимнастического козла.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Опорный прыжок на гимнастического козла.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Гимнастическая комбинация с элементами акробатики.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Лазанье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 на гимнастической стенке.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Расхождение на гимнастической скамейке в парах.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Осанка как показатель физического развития и здоровья школьника.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Упражнения для профилактики нарушения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осанки.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Режим дня и его значение для современного школьника.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Самостоятельное составление индивидуального режима дня.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Инструктаж по технике безопасности на уроках спортивных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игр.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Знакомство с рекомендациями учителя по использованию подготовительных и подводящих упражнений для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освоения технических действий игры волейбол.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Физическое развитие человека и факторы, влияющие на его показатели. 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Прямая нижняя подача мяча в волейболе.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Измерение индивидуальных показателей физического развития.</w:t>
            </w:r>
          </w:p>
          <w:p w:rsidR="000B0271" w:rsidRDefault="009B5816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Прямая нижняя подача мяча в волейболе.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Прямая нижняя подача мяча в волейболе.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самостоятельных занятий.</w:t>
            </w:r>
          </w:p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Прямая нижняя подача мяча в волейболе.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Ведение дневника физической культуры. </w:t>
            </w:r>
          </w:p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Прямая нижняя подача мяча в волейболе.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Прямая нижняя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подача мяча в волейболе.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Приём и передача волейбольного мяча двумя руками снизу.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Приём и передача волейбольного мяча двумя руками снизу.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Приём и передача волейбольного мяча двумя руками снизу.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работа;</w:t>
            </w:r>
          </w:p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Приём и передача волейбольного мяча двумя руками сверху.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Приём и передача волейбольного мяча двумя руками сверху.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Приём и передача волейбольного мяча двумя руками сверху.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Исследование влияния оздоровительных форм занятий физической культурой на работу сердца.</w:t>
            </w:r>
          </w:p>
          <w:p w:rsidR="000B0271" w:rsidRDefault="009B5816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Процедура определения состояния организма с помощью одномоментной функциональной пробы.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Передача баскетбольного мяча двумя руками от груди.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Передача баскетбольного мяча двумя руками от груди.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Передача баскетбольного мяча двумя руками от груди.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Знакомство с рекомендациями учителя по использованию подготовительных и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подводящих упражнений для освоения технических действий игры баскетбол.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Ведение баскетбольного мяча.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баскетбольного мяча.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Ведение баскетбольного мяча.</w:t>
            </w:r>
          </w:p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Бросок баскетбольного мяча в корзину двумя руками от груди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lastRenderedPageBreak/>
              <w:t>с места.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Ведение баскетбольного мяча.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Ведение баскетбольного мяча.</w:t>
            </w:r>
          </w:p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Ведение баскетбольного мяча.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Ведение баскетбольного мяча.</w:t>
            </w:r>
          </w:p>
          <w:p w:rsidR="000B0271" w:rsidRDefault="009B5816"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работа;</w:t>
            </w:r>
          </w:p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Ведение баскетбольного мяча.</w:t>
            </w:r>
          </w:p>
          <w:p w:rsidR="000B0271" w:rsidRDefault="009B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  <w:p w:rsidR="000B0271" w:rsidRDefault="009B5816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Физическая подготовка: освоение содержания программы, демонстрация приростов в показателях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физической подготовленности и нормативных требований комплекса ГТО.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Бег с максимальной скоростью на короткие дистанции.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Бег с максимальной скоростью на короткие дистанции.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Бег с равномерной скоростью на длинные дистанции.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Бег с равномерной скоростью на длинные дистанции.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Метание малого мяча в неподвижную мишень.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Метание малого мяча на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дальность.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Метание малого мяча на дальность.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t xml:space="preserve"> 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Метание малого мяча на дальность.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Прыжок в длину с разбега способом «согнув ноги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длину с разбега способом «согнув ноги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B0271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Прыжок в длину с разбега способом «согнув ноги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B0271">
        <w:tc>
          <w:tcPr>
            <w:tcW w:w="64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9B5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271" w:rsidRDefault="000B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0B0271" w:rsidRDefault="009B5816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0B0271" w:rsidRDefault="000B0271">
      <w:pPr>
        <w:shd w:val="clear" w:color="auto" w:fill="FFFFFF"/>
        <w:spacing w:before="240" w:after="12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B0271" w:rsidRDefault="009B5816">
      <w:pPr>
        <w:shd w:val="clear" w:color="auto" w:fill="FFFFFF"/>
        <w:spacing w:before="240"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МЕТОДИЧЕСКИЕ МАТЕРИАЛЫ ДЛЯ УЧИТЕЛЯ</w:t>
      </w:r>
    </w:p>
    <w:p w:rsidR="000B0271" w:rsidRDefault="009B5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Физическая культура. 5–9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классы. Методическое пособие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B0271" w:rsidRDefault="009B5816">
      <w:pPr>
        <w:shd w:val="clear" w:color="auto" w:fill="FFFFFF" w:themeFill="background1"/>
        <w:spacing w:before="240"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ЦИФРОВЫЕ ОБРАЗОВАТЕЛЬНЫЕ РЕСУРСЫ И РЕСУРСЫ СЕТИ ИНТЕРНЕТ</w:t>
      </w:r>
    </w:p>
    <w:p w:rsidR="000B0271" w:rsidRDefault="009B5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https://resh.edu.ru/subject/9/</w:t>
      </w:r>
    </w:p>
    <w:p w:rsidR="000B0271" w:rsidRDefault="009B5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B0271" w:rsidRDefault="000B0271"/>
    <w:sectPr w:rsidR="000B0271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71"/>
    <w:rsid w:val="000B0271"/>
    <w:rsid w:val="009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CE39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rsid w:val="007179D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1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CE39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rsid w:val="007179D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1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2C16-D29F-4791-99B7-72E62D9B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7135</Words>
  <Characters>40670</Characters>
  <Application>Microsoft Office Word</Application>
  <DocSecurity>0</DocSecurity>
  <Lines>338</Lines>
  <Paragraphs>95</Paragraphs>
  <ScaleCrop>false</ScaleCrop>
  <Company/>
  <LinksUpToDate>false</LinksUpToDate>
  <CharactersWithSpaces>47710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50</cp:revision>
  <dcterms:created xsi:type="dcterms:W3CDTF">2022-06-27T07:53:00Z</dcterms:created>
  <dcterms:modified xsi:type="dcterms:W3CDTF">2022-11-15T09:33:00Z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